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60" w:line="240"/>
        <w:ind w:right="0" w:left="0" w:firstLine="0"/>
        <w:jc w:val="center"/>
        <w:rPr>
          <w:rFonts w:ascii="Montserrat" w:hAnsi="Montserrat" w:cs="Montserrat" w:eastAsia="Montserrat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Шаблон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техзадания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на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запуск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рекламной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кампании</w:t>
      </w:r>
      <w:r>
        <w:rPr>
          <w:rFonts w:ascii="Montserrat" w:hAnsi="Montserrat" w:cs="Montserrat" w:eastAsia="Montserrat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Общая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информация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Каналы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и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форматы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рекламы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Настройка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и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технические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4"/>
          <w:u w:val="single"/>
          <w:shd w:fill="auto" w:val="clear"/>
        </w:rPr>
        <w:t xml:space="preserve">требования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Контент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и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креативы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График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запуска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Отчетность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и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аналитика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Ответственные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лица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и</w:t>
      </w:r>
      <w:r>
        <w:rPr>
          <w:rFonts w:ascii="Montserrat" w:hAnsi="Montserrat" w:cs="Montserrat" w:eastAsia="Montserrat"/>
          <w:color w:val="1155CC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контакты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155CC"/>
          <w:spacing w:val="0"/>
          <w:position w:val="0"/>
          <w:sz w:val="22"/>
          <w:u w:val="single"/>
          <w:shd w:fill="auto" w:val="clear"/>
        </w:rPr>
        <w:t xml:space="preserve">Приложения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Общая информация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1F1F1F"/>
          <w:spacing w:val="0"/>
          <w:position w:val="0"/>
          <w:sz w:val="24"/>
          <w:shd w:fill="FFFFFF" w:val="clear"/>
        </w:rPr>
        <w:t xml:space="preserve">Название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F1F1F"/>
          <w:spacing w:val="0"/>
          <w:position w:val="0"/>
          <w:sz w:val="24"/>
          <w:shd w:fill="FFFFFF" w:val="clear"/>
        </w:rPr>
        <w:t xml:space="preserve">проекта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Arial" w:hAnsi="Arial" w:cs="Arial" w:eastAsia="Arial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F1F1F"/>
          <w:spacing w:val="0"/>
          <w:position w:val="0"/>
          <w:sz w:val="24"/>
          <w:shd w:fill="FFFFFF" w:val="clear"/>
        </w:rPr>
        <w:t xml:space="preserve">название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F1F1F"/>
          <w:spacing w:val="0"/>
          <w:position w:val="0"/>
          <w:sz w:val="24"/>
          <w:shd w:fill="FFFFFF" w:val="clear"/>
        </w:rPr>
        <w:t xml:space="preserve">кампании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Цель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рекламной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Повышение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узнаваемости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бренда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Привлечение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трафика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сайт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Лиды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/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Продажи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Ретаргетинг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текущей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аудитории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Другое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Описание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продукта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/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услуги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Краткое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описание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товара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услуги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их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основные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преимущества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Целевая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аудитория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ЦА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Пол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возраст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география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Интересы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поведение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должности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доход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Основные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боли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потребности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ЦА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Юридическое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название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Реквизиты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бухгалтерии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обмена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документами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Каналы и форматы рекламы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каналы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выбрать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где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планируете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размещаться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Контекстная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(Google Ads,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Яндекс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.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Директ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-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РСЯ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Поиск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РСЯ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+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Поиск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Социальные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сети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(Instagram, Facebook, TikTok,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ВКонтакте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Одноклассники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Медийная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баннеры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видео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E-mail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маркетинг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Программатик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Форматы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Текстовые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объявления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Графические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баннеры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Видео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Карусели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Stories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Настройка и технические требования</w:t>
      </w:r>
    </w:p>
    <w:p>
      <w:pPr>
        <w:keepNext w:val="true"/>
        <w:keepLines w:val="true"/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3.1. UTM-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метки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Образец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меток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utm_source=[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источник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utm_medium=[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тип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_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utm_campaign=[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название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_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utm_content=[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идентификатор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_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объявления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utm_term=[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ключевое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_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слово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Пример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utm_source=google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utm_medium=cpc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utm_campaign=black_friday_sale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utm_content=video_ad_1  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utm_term=cheap_laptops  </w:t>
      </w:r>
    </w:p>
    <w:p>
      <w:pPr>
        <w:keepNext w:val="true"/>
        <w:keepLines w:val="true"/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3.2.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Пиксели и трекинг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Установить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пиксели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Facebook Pixel: [ID]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Google Analytics: [ID]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Яндекс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.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Метрика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[ID]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Другое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Настроить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отслеживание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событий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Клики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кнопкам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Заполнение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форм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Добавление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товаров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корзину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Завершение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покупок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Другое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keepNext w:val="true"/>
        <w:keepLines w:val="true"/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3.3.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Целевая страница (лендинг/сайт)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URL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лендинга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URL]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Требования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лендингу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Адаптивность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мобильных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устройств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Скорость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загрузки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более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3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секунд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Четкий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Call-to-Action (CTA)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Другие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пожелания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Контент и креативы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Текстовые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материалы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Заголовки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Описания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Призывы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действию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(CTA)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Визуальные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материалы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Размеры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баннеров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например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1080x1080, 1200x628, 1920x1080)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Формат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видео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(MP4,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длина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15-30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секунд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Примеры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стиля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фирменные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цвета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шрифты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Пример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брендинга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Приложить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ссылки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файлы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Параметры бюджета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Общий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бюджет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сумму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Распределение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бюджета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каналам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Google Ads: [%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сумма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Facebook/Instagram Ads: [%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сумма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Другие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каналы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[%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сумма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  <w:br/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Ожидаемая</w:t>
      </w:r>
      <w:r>
        <w:rPr>
          <w:rFonts w:ascii="Montserrat" w:hAnsi="Montserrat" w:cs="Montserrat" w:eastAsia="Montserrat"/>
          <w:b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стоимость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клик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(CPC)/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лид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(CPL):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KPI]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кто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предоставляет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обратную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связь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качеству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заявок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кто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предоставляет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обратную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связь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продажам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График запуска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начала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дату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завершения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кампании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дату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Периоды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пиковой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активности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если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применимо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Отчетность и аналитика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Периодичность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отчетов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Ежедневно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/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Еженедельно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/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После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завершения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кампании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Формат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отчетов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Excel/Google Sheets/PowerPoint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Ключевые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метрики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Трафик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количество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переходов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CTR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Конверсии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стоимость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количество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ROI/ROAS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Видимость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охват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частота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Другие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метрики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  <w:br/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Ответственный</w:t>
      </w:r>
      <w:r>
        <w:rPr>
          <w:rFonts w:ascii="Montserrat" w:hAnsi="Montserrat" w:cs="Montserrat" w:eastAsia="Montserrat"/>
          <w:b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Montserrat" w:hAnsi="Montserrat" w:cs="Montserrat" w:eastAsia="Montserrat"/>
          <w:b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аналитику</w:t>
      </w:r>
      <w:r>
        <w:rPr>
          <w:rFonts w:ascii="Montserrat" w:hAnsi="Montserrat" w:cs="Montserrat" w:eastAsia="Montserrat"/>
          <w:b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от</w:t>
      </w:r>
      <w:r>
        <w:rPr>
          <w:rFonts w:ascii="Montserrat" w:hAnsi="Montserrat" w:cs="Montserrat" w:eastAsia="Montserrat"/>
          <w:b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1F1F1F"/>
          <w:spacing w:val="0"/>
          <w:position w:val="0"/>
          <w:sz w:val="24"/>
          <w:shd w:fill="FFFFFF" w:val="clear"/>
        </w:rPr>
        <w:t xml:space="preserve">клиента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Указать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Ответственные лица и контакты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Координатор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проекта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ФИО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телефон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email]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Команда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настройке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рекламы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ФИО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данные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Дизайнер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ФИО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данные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Копирайтер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ФИО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контактные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данные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Ссылка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общий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чат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по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проекту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: [WhatsApp/Telegram]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Приложения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Логотипы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брендбук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Примеры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баннеров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текстов</w:t>
      </w:r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Список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ключевых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слов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Ссылки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дополнительные</w:t>
      </w:r>
      <w:r>
        <w:rPr>
          <w:rFonts w:ascii="Montserrat" w:hAnsi="Montserrat" w:cs="Montserrat" w:eastAsia="Montserrat"/>
          <w:color w:val="1F1F1F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  <w:t xml:space="preserve">материалы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1F1F1F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Благодарим Вас за уделенное время.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Пожалуйста, отправьте заполненный документ нам на почту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mail@Farnedo.ru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Отвечаем на бриф в течение 1-2 часов или сразу позвоните по телефонам.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 уважением,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Рекламное-агентство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«FARNEDO.Ru»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Общий: 8 (800) 551-18-08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https://farnedo.ru/</w:t>
        </w:r>
      </w:hyperlink>
    </w:p>
    <w:p>
      <w:pPr>
        <w:spacing w:before="0" w:after="0" w:line="276"/>
        <w:ind w:right="0" w:left="0" w:firstLine="0"/>
        <w:jc w:val="left"/>
        <w:rPr>
          <w:rFonts w:ascii="Montserrat" w:hAnsi="Montserrat" w:cs="Montserrat" w:eastAsia="Montserrat"/>
          <w:color w:val="1F1F1F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ail@Farnedo.ru" Id="docRId0" Type="http://schemas.openxmlformats.org/officeDocument/2006/relationships/hyperlink" /><Relationship TargetMode="External" Target="https://farnedo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